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contextualSpacing w:val="0"/>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CAVERDOCK: A New Tool for Analysis of Ligand Transport Processes in Proteins Using Molecular Docking</w:t>
      </w:r>
      <w:r w:rsidDel="00000000" w:rsidR="00000000" w:rsidRPr="00000000">
        <w:rPr>
          <w:rtl w:val="0"/>
        </w:rPr>
      </w:r>
    </w:p>
    <w:p w:rsidR="00000000" w:rsidDel="00000000" w:rsidP="00000000" w:rsidRDefault="00000000" w:rsidRPr="00000000" w14:paraId="00000001">
      <w:pPr>
        <w:spacing w:after="160" w:line="259" w:lineRule="auto"/>
        <w:contextualSpacing w:val="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Jan Stourac</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Ondrej Vavra</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Jiri Filipovic</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Jan Plhak</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Sergio Manuel Marques</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David Bednar</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Ludek Matyska</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Jiri Damborsky</w:t>
      </w:r>
      <w:r w:rsidDel="00000000" w:rsidR="00000000" w:rsidRPr="00000000">
        <w:rPr>
          <w:rFonts w:ascii="Times New Roman" w:cs="Times New Roman" w:eastAsia="Times New Roman" w:hAnsi="Times New Roman"/>
          <w:vertAlign w:val="superscript"/>
          <w:rtl w:val="0"/>
        </w:rPr>
        <w:t xml:space="preserve">1,2</w:t>
      </w:r>
    </w:p>
    <w:p w:rsidR="00000000" w:rsidDel="00000000" w:rsidP="00000000" w:rsidRDefault="00000000" w:rsidRPr="00000000" w14:paraId="00000002">
      <w:pPr>
        <w:spacing w:after="160" w:line="259" w:lineRule="auto"/>
        <w:contextualSpacing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vertAlign w:val="superscript"/>
          <w:rtl w:val="0"/>
        </w:rPr>
        <w:t xml:space="preserve">1</w:t>
      </w:r>
      <w:r w:rsidDel="00000000" w:rsidR="00000000" w:rsidRPr="00000000">
        <w:rPr>
          <w:rFonts w:ascii="Times New Roman" w:cs="Times New Roman" w:eastAsia="Times New Roman" w:hAnsi="Times New Roman"/>
          <w:i w:val="1"/>
          <w:sz w:val="18"/>
          <w:szCs w:val="18"/>
          <w:rtl w:val="0"/>
        </w:rPr>
        <w:t xml:space="preserve"> Loschmidt Laboratories, Department of Experimental Biology and Research Centre for Toxic Compounds in the Environment RECETOX, Faculty of Science, Masaryk University, Kamenice 5/A13, 625 00 Brno, Czech Republic, jiri@chemi.muni.cz </w:t>
      </w:r>
    </w:p>
    <w:p w:rsidR="00000000" w:rsidDel="00000000" w:rsidP="00000000" w:rsidRDefault="00000000" w:rsidRPr="00000000" w14:paraId="00000003">
      <w:pPr>
        <w:spacing w:after="160" w:line="259" w:lineRule="auto"/>
        <w:contextualSpacing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vertAlign w:val="superscript"/>
          <w:rtl w:val="0"/>
        </w:rPr>
        <w:t xml:space="preserve">2</w:t>
      </w:r>
      <w:r w:rsidDel="00000000" w:rsidR="00000000" w:rsidRPr="00000000">
        <w:rPr>
          <w:rFonts w:ascii="Times New Roman" w:cs="Times New Roman" w:eastAsia="Times New Roman" w:hAnsi="Times New Roman"/>
          <w:i w:val="1"/>
          <w:sz w:val="18"/>
          <w:szCs w:val="18"/>
          <w:rtl w:val="0"/>
        </w:rPr>
        <w:t xml:space="preserve"> International Centre for Clinical Research, St. Anne's University Hospital Brno, Pekarska 53, 656 91 Brno, Czech Republic </w:t>
      </w:r>
    </w:p>
    <w:p w:rsidR="00000000" w:rsidDel="00000000" w:rsidP="00000000" w:rsidRDefault="00000000" w:rsidRPr="00000000" w14:paraId="00000004">
      <w:pPr>
        <w:spacing w:after="160" w:line="259" w:lineRule="auto"/>
        <w:contextualSpacing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vertAlign w:val="superscript"/>
          <w:rtl w:val="0"/>
        </w:rPr>
        <w:t xml:space="preserve">3</w:t>
      </w:r>
      <w:r w:rsidDel="00000000" w:rsidR="00000000" w:rsidRPr="00000000">
        <w:rPr>
          <w:rFonts w:ascii="Times New Roman" w:cs="Times New Roman" w:eastAsia="Times New Roman" w:hAnsi="Times New Roman"/>
          <w:i w:val="1"/>
          <w:sz w:val="18"/>
          <w:szCs w:val="18"/>
          <w:rtl w:val="0"/>
        </w:rPr>
        <w:t xml:space="preserve"> Institute of Computer Science, Faculty of Science, Masaryk University, Botanicka 554/68a, 60200 Brno, Czech Republic</w:t>
      </w:r>
    </w:p>
    <w:p w:rsidR="00000000" w:rsidDel="00000000" w:rsidP="00000000" w:rsidRDefault="00000000" w:rsidRPr="00000000" w14:paraId="00000005">
      <w:pPr>
        <w:spacing w:after="160" w:line="259" w:lineRule="auto"/>
        <w:contextualSpacing w:val="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drawing>
          <wp:inline distB="114300" distT="114300" distL="114300" distR="114300">
            <wp:extent cx="1271588" cy="36964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71588" cy="36964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259" w:lineRule="auto"/>
        <w:ind w:firstLine="425.19685039370086"/>
        <w:contextualSpacing w:val="0"/>
        <w:jc w:val="both"/>
        <w:rPr>
          <w:rFonts w:ascii="Times New Roman" w:cs="Times New Roman" w:eastAsia="Times New Roman" w:hAnsi="Times New Roman"/>
        </w:rPr>
      </w:pPr>
      <w:bookmarkStart w:colFirst="0" w:colLast="0" w:name="_g6gih96w0eig" w:id="1"/>
      <w:bookmarkEnd w:id="1"/>
      <w:r w:rsidDel="00000000" w:rsidR="00000000" w:rsidRPr="00000000">
        <w:rPr>
          <w:rtl w:val="0"/>
        </w:rPr>
      </w:r>
    </w:p>
    <w:p w:rsidR="00000000" w:rsidDel="00000000" w:rsidP="00000000" w:rsidRDefault="00000000" w:rsidRPr="00000000" w14:paraId="00000008">
      <w:pPr>
        <w:spacing w:after="160" w:line="259" w:lineRule="auto"/>
        <w:ind w:firstLine="425.19685039370086"/>
        <w:contextualSpacing w:val="0"/>
        <w:jc w:val="both"/>
        <w:rPr>
          <w:rFonts w:ascii="Times New Roman" w:cs="Times New Roman" w:eastAsia="Times New Roman" w:hAnsi="Times New Roman"/>
        </w:rPr>
      </w:pPr>
      <w:bookmarkStart w:colFirst="0" w:colLast="0" w:name="_mqsqicb9sr4y" w:id="2"/>
      <w:bookmarkEnd w:id="2"/>
      <w:r w:rsidDel="00000000" w:rsidR="00000000" w:rsidRPr="00000000">
        <w:rPr>
          <w:rFonts w:ascii="Times New Roman" w:cs="Times New Roman" w:eastAsia="Times New Roman" w:hAnsi="Times New Roman"/>
          <w:rtl w:val="0"/>
        </w:rPr>
        <w:t xml:space="preserve">Understanding the mechanisms of ligand binding and unbinding into the proteins’ is crucial for drug design and protein engineering. Since many proteins have their active/binding sites buried inside the protein core, properties of access paths connecting the protein surface with the active site can heavily influence the whole binding mechanism [1]. We developed a novel software tool called CaverDock to study the ligand passage through such pathways [2, 3]. The tool is based on the idea of slicing the access tunnels into the small disks followed by iterative molecular docking calculation by AutoDock Vina [5], employing the constraints to every single disk. The software requires protein structure, tunnel topology from </w:t>
      </w:r>
      <w:r w:rsidDel="00000000" w:rsidR="00000000" w:rsidRPr="00000000">
        <w:rPr>
          <w:rFonts w:ascii="Times New Roman" w:cs="Times New Roman" w:eastAsia="Times New Roman" w:hAnsi="Times New Roman"/>
          <w:rtl w:val="0"/>
        </w:rPr>
        <w:t xml:space="preserve">CAVER [4]</w:t>
      </w:r>
      <w:r w:rsidDel="00000000" w:rsidR="00000000" w:rsidRPr="00000000">
        <w:rPr>
          <w:rFonts w:ascii="Times New Roman" w:cs="Times New Roman" w:eastAsia="Times New Roman" w:hAnsi="Times New Roman"/>
          <w:rtl w:val="0"/>
        </w:rPr>
        <w:t xml:space="preserve"> and ligand structure as the inputs. The outputs are continuous ligand trajectory, estimated free energy of binding along the pathway, activation barrier of the transport process and the energy difference between bound and unbound states. CaverDock is easy to setup and very fast - a typical calculation time in dozens of minutes makes it suitable even for a large scale virtual screenings. CaverDock is available free of charge at the website </w:t>
      </w:r>
      <w:hyperlink r:id="rId7">
        <w:r w:rsidDel="00000000" w:rsidR="00000000" w:rsidRPr="00000000">
          <w:rPr>
            <w:rFonts w:ascii="Times New Roman" w:cs="Times New Roman" w:eastAsia="Times New Roman" w:hAnsi="Times New Roman"/>
            <w:color w:val="1155cc"/>
            <w:u w:val="single"/>
            <w:rtl w:val="0"/>
          </w:rPr>
          <w:t xml:space="preserve">https://loschmidt.chemi.muni.cz/caverdock/</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9">
      <w:pPr>
        <w:spacing w:after="160" w:line="259"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60" w:line="259"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Marques, S.M., et al. 2016: Enzyme Tunnels and Gates as Relevant Targets in Drug Design. </w:t>
      </w:r>
      <w:r w:rsidDel="00000000" w:rsidR="00000000" w:rsidRPr="00000000">
        <w:rPr>
          <w:rFonts w:ascii="Times New Roman" w:cs="Times New Roman" w:eastAsia="Times New Roman" w:hAnsi="Times New Roman"/>
          <w:i w:val="1"/>
          <w:rtl w:val="0"/>
        </w:rPr>
        <w:t xml:space="preserve">Medicinal Research Reviews</w:t>
      </w:r>
      <w:r w:rsidDel="00000000" w:rsidR="00000000" w:rsidRPr="00000000">
        <w:rPr>
          <w:rFonts w:ascii="Times New Roman" w:cs="Times New Roman" w:eastAsia="Times New Roman" w:hAnsi="Times New Roman"/>
          <w:rtl w:val="0"/>
        </w:rPr>
        <w:t xml:space="preserve"> 37: 1095-1139.</w:t>
      </w:r>
    </w:p>
    <w:p w:rsidR="00000000" w:rsidDel="00000000" w:rsidP="00000000" w:rsidRDefault="00000000" w:rsidRPr="00000000" w14:paraId="0000000B">
      <w:pPr>
        <w:spacing w:after="160" w:line="259"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Vavra, O., et al. CAVERDOCK: A New Tool for Analysis of Ligand Binding and Unbinding Based on Molecular Docking. In preparation.</w:t>
      </w:r>
    </w:p>
    <w:p w:rsidR="00000000" w:rsidDel="00000000" w:rsidP="00000000" w:rsidRDefault="00000000" w:rsidRPr="00000000" w14:paraId="0000000C">
      <w:pPr>
        <w:spacing w:after="160" w:line="259"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Filipovic, J., et al. A Novel Method for Analysis of Ligand Binding and Unbinding Based on Molecular Docking. In preparation.</w:t>
      </w:r>
    </w:p>
    <w:p w:rsidR="00000000" w:rsidDel="00000000" w:rsidP="00000000" w:rsidRDefault="00000000" w:rsidRPr="00000000" w14:paraId="0000000D">
      <w:pPr>
        <w:spacing w:after="160" w:line="259"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Chovancova, E., et al. 2012: CAVER 3.0: A Tool for Analysis of Transport Pathways in Dynamic Protein Structures. </w:t>
      </w:r>
      <w:r w:rsidDel="00000000" w:rsidR="00000000" w:rsidRPr="00000000">
        <w:rPr>
          <w:rFonts w:ascii="Times New Roman" w:cs="Times New Roman" w:eastAsia="Times New Roman" w:hAnsi="Times New Roman"/>
          <w:i w:val="1"/>
          <w:rtl w:val="0"/>
        </w:rPr>
        <w:t xml:space="preserve">PLOS Computational Biology</w:t>
      </w:r>
      <w:r w:rsidDel="00000000" w:rsidR="00000000" w:rsidRPr="00000000">
        <w:rPr>
          <w:rFonts w:ascii="Times New Roman" w:cs="Times New Roman" w:eastAsia="Times New Roman" w:hAnsi="Times New Roman"/>
          <w:rtl w:val="0"/>
        </w:rPr>
        <w:t xml:space="preserve"> 8: e1002708.</w:t>
      </w:r>
    </w:p>
    <w:p w:rsidR="00000000" w:rsidDel="00000000" w:rsidP="00000000" w:rsidRDefault="00000000" w:rsidRPr="00000000" w14:paraId="0000000E">
      <w:pPr>
        <w:spacing w:after="160" w:line="259"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Trott, O. &amp; Olson, A.J., 2010: AutoDock Vina: Improving the Speed and Accuracy of Docking with a New Scoring Function, Efficient Optimization and Multithreading. </w:t>
      </w:r>
      <w:r w:rsidDel="00000000" w:rsidR="00000000" w:rsidRPr="00000000">
        <w:rPr>
          <w:rFonts w:ascii="Times New Roman" w:cs="Times New Roman" w:eastAsia="Times New Roman" w:hAnsi="Times New Roman"/>
          <w:i w:val="1"/>
          <w:rtl w:val="0"/>
        </w:rPr>
        <w:t xml:space="preserve">Journal of Computational Chemistry</w:t>
      </w:r>
      <w:r w:rsidDel="00000000" w:rsidR="00000000" w:rsidRPr="00000000">
        <w:rPr>
          <w:rFonts w:ascii="Times New Roman" w:cs="Times New Roman" w:eastAsia="Times New Roman" w:hAnsi="Times New Roman"/>
          <w:rtl w:val="0"/>
        </w:rPr>
        <w:t xml:space="preserve"> 31: 455-461.</w:t>
      </w:r>
    </w:p>
    <w:sectPr>
      <w:pgSz w:h="16834" w:w="11909"/>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loschmidt.chemi.muni.cz/caverd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