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jc w:val="center"/>
        <w:rPr/>
      </w:pPr>
      <w:r>
        <w:rPr>
          <w:rStyle w:val="Strong"/>
          <w:b/>
          <w:bCs/>
        </w:rPr>
        <w:t>De Novo Drug Design: Combining Pharmacophore Modeling, 3D Shape Matching, and Generative AI</w:t>
      </w:r>
    </w:p>
    <w:p>
      <w:pPr>
        <w:pStyle w:val="Normal"/>
        <w:jc w:val="center"/>
        <w:rPr>
          <w:rStyle w:val="Strong"/>
          <w:rFonts w:ascii="Times New Roman" w:hAnsi="Times New Roman"/>
          <w:b/>
          <w:bCs/>
        </w:rPr>
      </w:pPr>
      <w:r>
        <w:rPr>
          <w:b/>
          <w:bCs/>
        </w:rPr>
      </w:r>
    </w:p>
    <w:p>
      <w:pPr>
        <w:pStyle w:val="Autor"/>
        <w:rPr/>
      </w:pPr>
      <w:r>
        <w:rPr>
          <w:rStyle w:val="Strong"/>
          <w:b w:val="false"/>
          <w:bCs w:val="false"/>
          <w:i/>
          <w:iCs/>
        </w:rPr>
        <w:t>Jozef Fülöp¹, Martin Šícho¹, Daniel Svozil</w:t>
      </w:r>
    </w:p>
    <w:p>
      <w:pPr>
        <w:pStyle w:val="Afiliace"/>
        <w:widowControl/>
        <w:suppressAutoHyphens w:val="true"/>
        <w:bidi w:val="0"/>
        <w:spacing w:before="0" w:after="0"/>
        <w:jc w:val="left"/>
        <w:rPr/>
      </w:pPr>
      <w:r>
        <w:rPr/>
        <w:br/>
      </w:r>
      <w:r>
        <w:rPr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  <w:t xml:space="preserve"> Department of Informatics and Chemistry &amp; CZ-OPENSCREEN: National Infrastructure for Chemical Biology, Faculty of Chemical Technology, University of Chemistry and Technology, Technická 5, 16628, Prague, Czech Republic</w:t>
      </w:r>
    </w:p>
    <w:p>
      <w:pPr>
        <w:pStyle w:val="Afiliace"/>
        <w:widowControl/>
        <w:suppressAutoHyphens w:val="true"/>
        <w:bidi w:val="0"/>
        <w:spacing w:before="0" w:after="0"/>
        <w:jc w:val="left"/>
        <w:rPr>
          <w:rFonts w:ascii="Times New Roman" w:hAnsi="Times New Roman"/>
        </w:rPr>
      </w:pPr>
      <w:r>
        <w:rPr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  <w:t>2 Leiden Academic Centre for Drug Research, Leiden University, 55 Einsteinweg, 2333 CC, Leiden, The Netherlands</w:t>
      </w:r>
    </w:p>
    <w:p>
      <w:pPr>
        <w:pStyle w:val="Normal"/>
        <w:widowControl/>
        <w:suppressAutoHyphens w:val="true"/>
        <w:bidi w:val="0"/>
        <w:spacing w:before="0" w:after="0"/>
        <w:ind w:hanging="0"/>
        <w:rPr>
          <w:rFonts w:ascii="Times New Roman" w:hAnsi="Times New Roman" w:eastAsia="Times New Roman" w:cs="Times New Roman"/>
          <w:color w:val="auto"/>
          <w:kern w:val="0"/>
          <w:sz w:val="20"/>
          <w:szCs w:val="24"/>
          <w:lang w:val="cs-CZ" w:eastAsia="cs-CZ" w:bidi="ar-SA"/>
        </w:rPr>
      </w:pPr>
      <w:r>
        <w:rPr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</w:r>
    </w:p>
    <w:p>
      <w:pPr>
        <w:pStyle w:val="Abstrakt"/>
        <w:widowControl/>
        <w:suppressAutoHyphens w:val="true"/>
        <w:bidi w:val="0"/>
        <w:spacing w:before="0" w:after="0"/>
        <w:ind w:hanging="0"/>
        <w:rPr/>
      </w:pPr>
      <w:r>
        <w:rPr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  <w:t>Recent work shows that shape</w:t>
        <w:noBreakHyphen/>
        <w:t>based generative reinforcement</w:t>
        <w:noBreakHyphen/>
        <w:t>learning models enable scaffold hopping and diverse lead discovery [1], while voxel</w:t>
        <w:noBreakHyphen/>
        <w:t>based shape autoencoders can uncover novel scaffolds from 3</w:t>
        <w:noBreakHyphen/>
        <w:t>D inputs [2]. Pharmacophore modeling that exploits shape</w:t>
        <w:noBreakHyphen/>
        <w:t>and</w:t>
        <w:noBreakHyphen/>
        <w:t>colour Tanimoto scores (e.g., ROCS) reliably detects compounds sharing key 3</w:t>
        <w:noBreakHyphen/>
        <w:t>D features beyond close analogues [3]. Building on this, we introduce an open</w:t>
        <w:noBreakHyphen/>
        <w:t xml:space="preserve">source pipeline that (i) aligns ligands by shape and pharmacophoric “colour,” (ii) filters for high Tanimoto shape/colour similarity and synthetic accessibility, and (iii) uses DrugEx to propose new chemotypes meeting both criteria [4]. </w:t>
      </w:r>
      <w:r>
        <w:rPr/>
        <w:t>Using the chemokine receptor CCR2, an allosteric target involved in inflammation and metastasis, as a case study [5], we benchmark ROCS/OMEGA against RDKit/CDPKit [6, 7] and find speed</w:t>
        <w:noBreakHyphen/>
        <w:t>versus</w:t>
        <w:noBreakHyphen/>
        <w:t>optimisation trade</w:t>
        <w:noBreakHyphen/>
        <w:t xml:space="preserve">offs on large libraries, yet comparable overlay accuracy. This integrated workflow </w:t>
      </w:r>
      <w:r>
        <w:rPr/>
        <w:t>t</w:t>
      </w:r>
      <w:r>
        <w:rPr/>
        <w:t>herefore provides a practical open</w:t>
        <w:noBreakHyphen/>
        <w:t>source alternative for next</w:t>
        <w:noBreakHyphen/>
        <w:t>generation lead discovery.</w:t>
      </w:r>
    </w:p>
    <w:p>
      <w:pPr>
        <w:pStyle w:val="Normal"/>
        <w:widowControl/>
        <w:suppressAutoHyphens w:val="true"/>
        <w:bidi w:val="0"/>
        <w:spacing w:before="0" w:after="0"/>
        <w:ind w:hanging="0"/>
        <w:rPr>
          <w:rFonts w:ascii="Times New Roman" w:hAnsi="Times New Roman" w:eastAsia="Times New Roman" w:cs="Times New Roman"/>
          <w:color w:val="auto"/>
          <w:kern w:val="0"/>
          <w:sz w:val="20"/>
          <w:szCs w:val="24"/>
          <w:lang w:val="cs-CZ" w:eastAsia="cs-CZ" w:bidi="ar-SA"/>
        </w:rPr>
      </w:pPr>
      <w:r>
        <w:rPr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</w:r>
    </w:p>
    <w:p>
      <w:pPr>
        <w:pStyle w:val="BodyText"/>
        <w:spacing w:before="0" w:after="140"/>
        <w:jc w:val="left"/>
        <w:rPr/>
      </w:pPr>
      <w:r>
        <w:rPr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  <w:t>References</w:t>
        <w:br/>
        <w:t xml:space="preserve">[1] Papadopoulos et al., </w:t>
      </w:r>
      <w:r>
        <w:rPr>
          <w:rStyle w:val="Emphasis"/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  <w:t>Bioorg. Med. Chem.</w:t>
      </w:r>
      <w:r>
        <w:rPr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  <w:t xml:space="preserve">, 2021 </w:t>
        <w:tab/>
        <w:tab/>
        <w:t xml:space="preserve">[5] Zheng et al., </w:t>
      </w:r>
      <w:r>
        <w:rPr>
          <w:rStyle w:val="Emphasis"/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  <w:t>Nature</w:t>
      </w:r>
      <w:r>
        <w:rPr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  <w:t xml:space="preserve">, 2016 </w:t>
        <w:br/>
        <w:t xml:space="preserve">[2] Skalic et al., </w:t>
      </w:r>
      <w:r>
        <w:rPr>
          <w:rStyle w:val="Emphasis"/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  <w:t>J. Chem. Inf. Model.</w:t>
      </w:r>
      <w:r>
        <w:rPr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  <w:t>, 2019</w:t>
        <w:tab/>
        <w:tab/>
        <w:tab/>
        <w:t xml:space="preserve">[6] RDKit: </w:t>
      </w:r>
      <w:hyperlink r:id="rId2">
        <w:r>
          <w:rPr>
            <w:rStyle w:val="Hyperlink"/>
            <w:rFonts w:eastAsia="Times New Roman" w:cs="Times New Roman"/>
            <w:color w:val="auto"/>
            <w:kern w:val="0"/>
            <w:sz w:val="20"/>
            <w:szCs w:val="24"/>
            <w:u w:val="none"/>
            <w:lang w:val="cs-CZ" w:eastAsia="cs-CZ" w:bidi="ar-SA"/>
          </w:rPr>
          <w:t>www.rdkit.org</w:t>
        </w:r>
      </w:hyperlink>
      <w:r>
        <w:rPr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  <w:br/>
        <w:t xml:space="preserve">[3] Kearnes &amp; Pande, </w:t>
      </w:r>
      <w:r>
        <w:rPr>
          <w:rStyle w:val="Emphasis"/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  <w:t>J. Comput. Aided Mol. Des.</w:t>
      </w:r>
      <w:r>
        <w:rPr>
          <w:rFonts w:eastAsia="Times New Roman" w:cs="Times New Roman"/>
          <w:color w:val="auto"/>
          <w:kern w:val="0"/>
          <w:sz w:val="20"/>
          <w:szCs w:val="24"/>
          <w:lang w:val="cs-CZ" w:eastAsia="cs-CZ" w:bidi="ar-SA"/>
        </w:rPr>
        <w:t xml:space="preserve">, 2016 </w:t>
        <w:tab/>
        <w:t xml:space="preserve">[7] CDPKit: github.com/molinfovienna/CDPKit </w:t>
        <w:br/>
      </w:r>
      <w:r>
        <w:rPr/>
        <w:t xml:space="preserve">[4] Šícho et al., </w:t>
      </w:r>
      <w:r>
        <w:rPr>
          <w:rStyle w:val="Emphasis"/>
        </w:rPr>
        <w:t>J. Chem. Inf. Model.</w:t>
      </w:r>
      <w:r>
        <w:rPr/>
        <w:t>, 2023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0c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cs-CZ" w:eastAsia="cs-CZ" w:bidi="ar-SA"/>
    </w:rPr>
  </w:style>
  <w:style w:type="paragraph" w:styleId="Heading1">
    <w:name w:val="Heading 1"/>
    <w:next w:val="Normal"/>
    <w:qFormat/>
    <w:rsid w:val="00a90cbb"/>
    <w:pPr>
      <w:keepNext w:val="true"/>
      <w:widowControl/>
      <w:suppressAutoHyphens w:val="true"/>
      <w:bidi w:val="0"/>
      <w:spacing w:before="240" w:after="60"/>
      <w:jc w:val="left"/>
      <w:outlineLvl w:val="0"/>
    </w:pPr>
    <w:rPr>
      <w:rFonts w:ascii="Times New Roman" w:hAnsi="Times New Roman" w:eastAsia="Times New Roman" w:cs="Arial"/>
      <w:b/>
      <w:bCs/>
      <w:color w:val="auto"/>
      <w:kern w:val="2"/>
      <w:sz w:val="24"/>
      <w:szCs w:val="32"/>
      <w:lang w:val="cs-CZ" w:eastAsia="cs-CZ" w:bidi="ar-SA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Arabic"/>
      <w:b/>
      <w:bCs/>
      <w:sz w:val="28"/>
      <w:szCs w:val="28"/>
    </w:rPr>
  </w:style>
  <w:style w:type="character" w:styleId="DefaultParagraphFont" w:default="1">
    <w:name w:val="Default Paragraph Font"/>
    <w:semiHidden/>
    <w:qFormat/>
    <w:rPr/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Autor" w:customStyle="1">
    <w:name w:val="Autor"/>
    <w:next w:val="Normal"/>
    <w:qFormat/>
    <w:rsid w:val="00dc337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cs-CZ" w:eastAsia="cs-CZ" w:bidi="ar-SA"/>
    </w:rPr>
  </w:style>
  <w:style w:type="paragraph" w:styleId="Afiliace" w:customStyle="1">
    <w:name w:val="Afiliace"/>
    <w:basedOn w:val="Autor"/>
    <w:next w:val="Normal"/>
    <w:qFormat/>
    <w:rsid w:val="004b6f30"/>
    <w:pPr/>
    <w:rPr>
      <w:i/>
    </w:rPr>
  </w:style>
  <w:style w:type="paragraph" w:styleId="Abstrakt" w:customStyle="1">
    <w:name w:val="Abstrakt"/>
    <w:basedOn w:val="Autor"/>
    <w:next w:val="Normal"/>
    <w:qFormat/>
    <w:rsid w:val="00a90cbb"/>
    <w:pPr>
      <w:spacing w:lineRule="auto" w:line="264"/>
      <w:ind w:firstLine="170"/>
      <w:jc w:val="both"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semiHidden/>
    <w:qFormat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dkit.org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LibreOffice/24.2.7.2$Linux_X86_64 LibreOffice_project/420$Build-2</Application>
  <AppVersion>15.0000</AppVersion>
  <Pages>1</Pages>
  <Words>251</Words>
  <Characters>1566</Characters>
  <CharactersWithSpaces>1816</CharactersWithSpaces>
  <Paragraphs>6</Paragraphs>
  <Company>vscht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2022-03-23T13:50:00Z</dcterms:created>
  <dc:creator>Windows User</dc:creator>
  <dc:description/>
  <dc:language>en-US</dc:language>
  <cp:lastModifiedBy/>
  <dcterms:modified xsi:type="dcterms:W3CDTF">2025-05-04T20:38:09Z</dcterms:modified>
  <cp:revision>7</cp:revision>
  <dc:subject/>
  <dc:title>Název konferenčního příspěvku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