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CBB" w:rsidRDefault="009574F1" w:rsidP="00B61D12">
      <w:pPr>
        <w:jc w:val="both"/>
        <w:rPr>
          <w:rFonts w:cs="Arial"/>
          <w:b/>
          <w:bCs/>
          <w:kern w:val="32"/>
          <w:sz w:val="24"/>
          <w:szCs w:val="32"/>
          <w:lang w:val="en-GB"/>
        </w:rPr>
      </w:pPr>
      <w:r w:rsidRPr="009574F1">
        <w:rPr>
          <w:rFonts w:cs="Arial"/>
          <w:b/>
          <w:bCs/>
          <w:kern w:val="32"/>
          <w:sz w:val="24"/>
          <w:szCs w:val="32"/>
          <w:lang w:val="en-GB"/>
        </w:rPr>
        <w:t>Plasmid-Mediated Antibiotic Resistance Dynamics in Broiler Chickens Revealed by Long-Read Sequencing</w:t>
      </w:r>
    </w:p>
    <w:p w:rsidR="009574F1" w:rsidRPr="00B61D12" w:rsidRDefault="009574F1" w:rsidP="00B61D12">
      <w:pPr>
        <w:jc w:val="both"/>
        <w:rPr>
          <w:lang w:val="en-GB"/>
        </w:rPr>
      </w:pPr>
    </w:p>
    <w:p w:rsidR="002E0C6D" w:rsidRDefault="002E0C6D" w:rsidP="002E0C6D">
      <w:pPr>
        <w:jc w:val="both"/>
        <w:rPr>
          <w:lang w:val="en-GB"/>
        </w:rPr>
      </w:pPr>
      <w:proofErr w:type="spellStart"/>
      <w:r w:rsidRPr="002E0C6D">
        <w:rPr>
          <w:lang w:val="en-GB"/>
        </w:rPr>
        <w:t>Mark</w:t>
      </w:r>
      <w:r>
        <w:rPr>
          <w:lang w:val="en-GB"/>
        </w:rPr>
        <w:t>éta</w:t>
      </w:r>
      <w:proofErr w:type="spellEnd"/>
      <w:r>
        <w:rPr>
          <w:lang w:val="en-GB"/>
        </w:rPr>
        <w:t xml:space="preserve"> Ryšavá</w:t>
      </w:r>
      <w:r w:rsidRPr="002E0C6D">
        <w:rPr>
          <w:vertAlign w:val="superscript"/>
          <w:lang w:val="en-GB"/>
        </w:rPr>
        <w:t>1,2,3</w:t>
      </w:r>
      <w:r w:rsidRPr="002E0C6D">
        <w:rPr>
          <w:lang w:val="en-GB"/>
        </w:rPr>
        <w:t xml:space="preserve">, </w:t>
      </w:r>
      <w:r>
        <w:rPr>
          <w:lang w:val="en-GB"/>
        </w:rPr>
        <w:t>Jana Palkovičová</w:t>
      </w:r>
      <w:r w:rsidRPr="002E0C6D">
        <w:rPr>
          <w:vertAlign w:val="superscript"/>
          <w:lang w:val="en-GB"/>
        </w:rPr>
        <w:t>2,3</w:t>
      </w:r>
      <w:r w:rsidRPr="002E0C6D">
        <w:rPr>
          <w:lang w:val="en-GB"/>
        </w:rPr>
        <w:t>, Jana Schwarzerov</w:t>
      </w:r>
      <w:r>
        <w:rPr>
          <w:lang w:val="en-GB"/>
        </w:rPr>
        <w:t>á</w:t>
      </w:r>
      <w:r w:rsidRPr="002E0C6D">
        <w:rPr>
          <w:vertAlign w:val="superscript"/>
          <w:lang w:val="en-GB"/>
        </w:rPr>
        <w:t>4,5,6</w:t>
      </w:r>
      <w:r>
        <w:rPr>
          <w:lang w:val="en-GB"/>
        </w:rPr>
        <w:t xml:space="preserve">, </w:t>
      </w:r>
      <w:r w:rsidRPr="002E0C6D">
        <w:rPr>
          <w:b/>
          <w:lang w:val="en-GB"/>
        </w:rPr>
        <w:t>Darina Čejková</w:t>
      </w:r>
      <w:r w:rsidRPr="002E0C6D">
        <w:rPr>
          <w:b/>
          <w:vertAlign w:val="superscript"/>
          <w:lang w:val="en-GB"/>
        </w:rPr>
        <w:t>4</w:t>
      </w:r>
      <w:r>
        <w:rPr>
          <w:lang w:val="en-GB"/>
        </w:rPr>
        <w:t xml:space="preserve">, </w:t>
      </w:r>
      <w:proofErr w:type="spellStart"/>
      <w:r w:rsidR="00D938B9">
        <w:rPr>
          <w:lang w:val="en-GB"/>
        </w:rPr>
        <w:t>Markéta</w:t>
      </w:r>
      <w:proofErr w:type="spellEnd"/>
      <w:r w:rsidR="00D938B9">
        <w:rPr>
          <w:lang w:val="en-GB"/>
        </w:rPr>
        <w:t xml:space="preserve"> Jakubíčková</w:t>
      </w:r>
      <w:r w:rsidR="00D938B9" w:rsidRPr="00D938B9">
        <w:rPr>
          <w:vertAlign w:val="superscript"/>
          <w:lang w:val="en-GB"/>
        </w:rPr>
        <w:t>4</w:t>
      </w:r>
      <w:r w:rsidR="00D938B9">
        <w:rPr>
          <w:lang w:val="en-GB"/>
        </w:rPr>
        <w:t xml:space="preserve">, </w:t>
      </w:r>
      <w:r>
        <w:rPr>
          <w:lang w:val="en-GB"/>
        </w:rPr>
        <w:t>Monika Dolejská</w:t>
      </w:r>
      <w:r w:rsidRPr="002E0C6D">
        <w:rPr>
          <w:vertAlign w:val="superscript"/>
          <w:lang w:val="en-GB"/>
        </w:rPr>
        <w:t>1,2,3,7,8</w:t>
      </w:r>
    </w:p>
    <w:p w:rsidR="002E0C6D" w:rsidRDefault="002E0C6D" w:rsidP="002E0C6D">
      <w:pPr>
        <w:jc w:val="both"/>
        <w:rPr>
          <w:lang w:val="en-GB"/>
        </w:rPr>
      </w:pPr>
    </w:p>
    <w:p w:rsidR="002E0C6D" w:rsidRPr="002E0C6D" w:rsidRDefault="002E0C6D" w:rsidP="002E0C6D">
      <w:pPr>
        <w:jc w:val="both"/>
        <w:rPr>
          <w:lang w:val="en-GB"/>
        </w:rPr>
      </w:pPr>
    </w:p>
    <w:p w:rsidR="002E0C6D" w:rsidRPr="00033A09" w:rsidRDefault="002E0C6D" w:rsidP="002E0C6D">
      <w:pPr>
        <w:jc w:val="both"/>
        <w:rPr>
          <w:i/>
          <w:lang w:val="en-GB"/>
        </w:rPr>
      </w:pPr>
      <w:r w:rsidRPr="00033A09">
        <w:rPr>
          <w:i/>
          <w:vertAlign w:val="superscript"/>
          <w:lang w:val="en-GB"/>
        </w:rPr>
        <w:t>1</w:t>
      </w:r>
      <w:r w:rsidRPr="00033A09">
        <w:rPr>
          <w:i/>
          <w:lang w:val="en-GB"/>
        </w:rPr>
        <w:t xml:space="preserve"> Department of Biology and Wildlife Diseases, Faculty of Veterinary Hygiene and Ecology, University of Veterinary Sciences Brno, Brno, Czech Republic</w:t>
      </w:r>
    </w:p>
    <w:p w:rsidR="002E0C6D" w:rsidRPr="00033A09" w:rsidRDefault="002E0C6D" w:rsidP="002E0C6D">
      <w:pPr>
        <w:jc w:val="both"/>
        <w:rPr>
          <w:i/>
          <w:lang w:val="en-GB"/>
        </w:rPr>
      </w:pPr>
      <w:r w:rsidRPr="00033A09">
        <w:rPr>
          <w:i/>
          <w:vertAlign w:val="superscript"/>
          <w:lang w:val="en-GB"/>
        </w:rPr>
        <w:t>2</w:t>
      </w:r>
      <w:r w:rsidRPr="00033A09">
        <w:rPr>
          <w:i/>
          <w:lang w:val="en-GB"/>
        </w:rPr>
        <w:t xml:space="preserve"> Central European Institute of Technology, University of Veterinary Sciences Brno, Brno, Czech Republic</w:t>
      </w:r>
    </w:p>
    <w:p w:rsidR="002E0C6D" w:rsidRPr="00033A09" w:rsidRDefault="002E0C6D" w:rsidP="002E0C6D">
      <w:pPr>
        <w:jc w:val="both"/>
        <w:rPr>
          <w:i/>
          <w:lang w:val="en-GB"/>
        </w:rPr>
      </w:pPr>
      <w:r w:rsidRPr="00033A09">
        <w:rPr>
          <w:i/>
          <w:vertAlign w:val="superscript"/>
          <w:lang w:val="en-GB"/>
        </w:rPr>
        <w:t>3</w:t>
      </w:r>
      <w:r w:rsidRPr="00033A09">
        <w:rPr>
          <w:i/>
          <w:lang w:val="en-GB"/>
        </w:rPr>
        <w:t xml:space="preserve"> Department of Microbiology, Faculty of Medicine in Pilsen, Charles University, Pilsen, Czech Republic </w:t>
      </w:r>
    </w:p>
    <w:p w:rsidR="002E0C6D" w:rsidRPr="00033A09" w:rsidRDefault="002E0C6D" w:rsidP="002E0C6D">
      <w:pPr>
        <w:jc w:val="both"/>
        <w:rPr>
          <w:i/>
          <w:lang w:val="en-GB"/>
        </w:rPr>
      </w:pPr>
      <w:r w:rsidRPr="00033A09">
        <w:rPr>
          <w:i/>
          <w:vertAlign w:val="superscript"/>
          <w:lang w:val="en-GB"/>
        </w:rPr>
        <w:t>4</w:t>
      </w:r>
      <w:r w:rsidRPr="00033A09">
        <w:rPr>
          <w:i/>
          <w:lang w:val="en-GB"/>
        </w:rPr>
        <w:t xml:space="preserve"> Department of Biomedical Engineering, Faculty of Electrical Engineering and Communication, Brno University of Technology, Czech Republic</w:t>
      </w:r>
    </w:p>
    <w:p w:rsidR="002E0C6D" w:rsidRPr="00033A09" w:rsidRDefault="002E0C6D" w:rsidP="002E0C6D">
      <w:pPr>
        <w:jc w:val="both"/>
        <w:rPr>
          <w:i/>
          <w:lang w:val="en-GB"/>
        </w:rPr>
      </w:pPr>
      <w:r w:rsidRPr="00033A09">
        <w:rPr>
          <w:i/>
          <w:vertAlign w:val="superscript"/>
          <w:lang w:val="en-GB"/>
        </w:rPr>
        <w:t>5</w:t>
      </w:r>
      <w:r w:rsidRPr="00033A09">
        <w:rPr>
          <w:i/>
          <w:lang w:val="en-GB"/>
        </w:rPr>
        <w:t xml:space="preserve"> Molecular Systems Biology (MOSYS), Department of Functional and Evolutionary Ecology, Faculty of Life Sciences, University of Vienna, Vienna, Austria</w:t>
      </w:r>
    </w:p>
    <w:p w:rsidR="002E0C6D" w:rsidRPr="00033A09" w:rsidRDefault="002E0C6D" w:rsidP="002E0C6D">
      <w:pPr>
        <w:jc w:val="both"/>
        <w:rPr>
          <w:i/>
          <w:lang w:val="en-GB"/>
        </w:rPr>
      </w:pPr>
      <w:r w:rsidRPr="00033A09">
        <w:rPr>
          <w:i/>
          <w:vertAlign w:val="superscript"/>
          <w:lang w:val="en-GB"/>
        </w:rPr>
        <w:t>6</w:t>
      </w:r>
      <w:r w:rsidRPr="00033A09">
        <w:rPr>
          <w:i/>
          <w:lang w:val="en-GB"/>
        </w:rPr>
        <w:t xml:space="preserve"> Department of Molecular and Clinical Pathology and Medical Genetics, University Hospital Ostrava, Ostrava, Czech Republic</w:t>
      </w:r>
    </w:p>
    <w:p w:rsidR="002E0C6D" w:rsidRPr="00033A09" w:rsidRDefault="002E0C6D" w:rsidP="002E0C6D">
      <w:pPr>
        <w:jc w:val="both"/>
        <w:rPr>
          <w:i/>
          <w:lang w:val="en-GB"/>
        </w:rPr>
      </w:pPr>
      <w:r w:rsidRPr="00033A09">
        <w:rPr>
          <w:i/>
          <w:vertAlign w:val="superscript"/>
          <w:lang w:val="en-GB"/>
        </w:rPr>
        <w:t>7</w:t>
      </w:r>
      <w:r w:rsidRPr="00033A09">
        <w:rPr>
          <w:i/>
          <w:lang w:val="en-GB"/>
        </w:rPr>
        <w:t xml:space="preserve"> Department of Chemistry and Biochemistry, Faculty of </w:t>
      </w:r>
      <w:proofErr w:type="spellStart"/>
      <w:r w:rsidRPr="00033A09">
        <w:rPr>
          <w:i/>
          <w:lang w:val="en-GB"/>
        </w:rPr>
        <w:t>AgriSciences</w:t>
      </w:r>
      <w:proofErr w:type="spellEnd"/>
      <w:r w:rsidRPr="00033A09">
        <w:rPr>
          <w:i/>
          <w:lang w:val="en-GB"/>
        </w:rPr>
        <w:t>, Mendel University in Brno, Brno, Czech Republic</w:t>
      </w:r>
    </w:p>
    <w:p w:rsidR="00A90CBB" w:rsidRPr="00033A09" w:rsidRDefault="002E0C6D" w:rsidP="002E0C6D">
      <w:pPr>
        <w:jc w:val="both"/>
        <w:rPr>
          <w:i/>
          <w:lang w:val="en-GB"/>
        </w:rPr>
      </w:pPr>
      <w:r w:rsidRPr="00033A09">
        <w:rPr>
          <w:i/>
          <w:vertAlign w:val="superscript"/>
          <w:lang w:val="en-GB"/>
        </w:rPr>
        <w:t>8</w:t>
      </w:r>
      <w:r w:rsidRPr="00033A09">
        <w:rPr>
          <w:i/>
          <w:lang w:val="en-GB"/>
        </w:rPr>
        <w:t xml:space="preserve"> Division of Clinical Microbiology and Immunology, Department of Laboratory Medicine, University Hospital Brno, Brno, Czech Republic</w:t>
      </w:r>
    </w:p>
    <w:p w:rsidR="00A90CBB" w:rsidRPr="00B61D12" w:rsidRDefault="00A90CBB" w:rsidP="00B61D12">
      <w:pPr>
        <w:jc w:val="both"/>
        <w:rPr>
          <w:lang w:val="en-GB"/>
        </w:rPr>
      </w:pPr>
    </w:p>
    <w:p w:rsidR="00E00C88" w:rsidRPr="00B61D12" w:rsidRDefault="00E00C88" w:rsidP="00E47C85">
      <w:pPr>
        <w:pStyle w:val="Abstrakt"/>
        <w:spacing w:line="240" w:lineRule="auto"/>
        <w:ind w:firstLine="0"/>
        <w:rPr>
          <w:lang w:val="en-GB"/>
        </w:rPr>
      </w:pPr>
    </w:p>
    <w:p w:rsidR="00FC226E" w:rsidRPr="00FC226E" w:rsidRDefault="00FC226E" w:rsidP="00FC226E">
      <w:pPr>
        <w:jc w:val="both"/>
        <w:rPr>
          <w:lang w:val="en-GB"/>
        </w:rPr>
      </w:pPr>
      <w:r w:rsidRPr="00FC226E">
        <w:rPr>
          <w:lang w:val="en-GB"/>
        </w:rPr>
        <w:t>The widespread use of antibiotics in human and veterinary medicine has accelerated antimicrobial resistance (AMR), primarily through horizontal gene transfer. This process allows bacteria to exchange antibiotic resistance genes (ARGs) via mobile genetic elements like plasmids. Antibiotic use creates ARG reservoirs in bacterial populations, promoting the spread of resistance and contributing to multidrug-resistant pathogens. Intensive poultry farming has notably contributed to AMR, with excessive antibiotic use promoting the accumulation of ARGs in the chicken gut microbiome. These ARGs, often carried on plasmids, can transfer between bacteria, including pathogens, posing a risk to human health via food or environmental exposure.</w:t>
      </w:r>
    </w:p>
    <w:p w:rsidR="00A3792B" w:rsidRPr="00A3792B" w:rsidRDefault="00A3792B" w:rsidP="00A3792B">
      <w:pPr>
        <w:jc w:val="both"/>
        <w:rPr>
          <w:lang w:val="en-GB"/>
        </w:rPr>
      </w:pPr>
      <w:r w:rsidRPr="00A3792B">
        <w:rPr>
          <w:lang w:val="en-GB"/>
        </w:rPr>
        <w:t xml:space="preserve">In this study, long-read sequencing was used to </w:t>
      </w:r>
      <w:proofErr w:type="spellStart"/>
      <w:r w:rsidRPr="00A3792B">
        <w:rPr>
          <w:lang w:val="en-GB"/>
        </w:rPr>
        <w:t>analyze</w:t>
      </w:r>
      <w:proofErr w:type="spellEnd"/>
      <w:r w:rsidRPr="00A3792B">
        <w:rPr>
          <w:lang w:val="en-GB"/>
        </w:rPr>
        <w:t xml:space="preserve"> the </w:t>
      </w:r>
      <w:proofErr w:type="spellStart"/>
      <w:r w:rsidRPr="00A3792B">
        <w:rPr>
          <w:lang w:val="en-GB"/>
        </w:rPr>
        <w:t>plasmidome</w:t>
      </w:r>
      <w:proofErr w:type="spellEnd"/>
      <w:r w:rsidRPr="00A3792B">
        <w:rPr>
          <w:lang w:val="en-GB"/>
        </w:rPr>
        <w:t xml:space="preserve"> and </w:t>
      </w:r>
      <w:proofErr w:type="spellStart"/>
      <w:r w:rsidRPr="00A3792B">
        <w:rPr>
          <w:lang w:val="en-GB"/>
        </w:rPr>
        <w:t>resistome</w:t>
      </w:r>
      <w:proofErr w:type="spellEnd"/>
      <w:r w:rsidRPr="00A3792B">
        <w:rPr>
          <w:lang w:val="en-GB"/>
        </w:rPr>
        <w:t xml:space="preserve"> in 12 </w:t>
      </w:r>
      <w:proofErr w:type="spellStart"/>
      <w:r w:rsidRPr="00A3792B">
        <w:rPr>
          <w:lang w:val="en-GB"/>
        </w:rPr>
        <w:t>fecal</w:t>
      </w:r>
      <w:proofErr w:type="spellEnd"/>
      <w:r w:rsidRPr="00A3792B">
        <w:rPr>
          <w:lang w:val="en-GB"/>
        </w:rPr>
        <w:t xml:space="preserve"> samples collected from three chicken barns on a commercial farm. All chickens received </w:t>
      </w:r>
      <w:proofErr w:type="spellStart"/>
      <w:r w:rsidRPr="00A3792B">
        <w:rPr>
          <w:lang w:val="en-GB"/>
        </w:rPr>
        <w:t>enrofloxacin</w:t>
      </w:r>
      <w:proofErr w:type="spellEnd"/>
      <w:r w:rsidRPr="00A3792B">
        <w:rPr>
          <w:lang w:val="en-GB"/>
        </w:rPr>
        <w:t xml:space="preserve"> during the first days of life, </w:t>
      </w:r>
      <w:r w:rsidRPr="00FC226E">
        <w:rPr>
          <w:lang w:val="en-GB"/>
        </w:rPr>
        <w:t xml:space="preserve">with one barn </w:t>
      </w:r>
      <w:r>
        <w:rPr>
          <w:lang w:val="en-GB"/>
        </w:rPr>
        <w:t>was additionally</w:t>
      </w:r>
      <w:r w:rsidRPr="00FC226E">
        <w:rPr>
          <w:lang w:val="en-GB"/>
        </w:rPr>
        <w:t xml:space="preserve"> treated with sulfamethoxazole/trimethoprim. </w:t>
      </w:r>
      <w:r w:rsidRPr="00A3792B">
        <w:rPr>
          <w:lang w:val="en-GB"/>
        </w:rPr>
        <w:t xml:space="preserve">For comparison, short-read </w:t>
      </w:r>
      <w:proofErr w:type="spellStart"/>
      <w:r w:rsidRPr="00A3792B">
        <w:rPr>
          <w:lang w:val="en-GB"/>
        </w:rPr>
        <w:t>metagenomic</w:t>
      </w:r>
      <w:proofErr w:type="spellEnd"/>
      <w:r w:rsidRPr="00A3792B">
        <w:rPr>
          <w:lang w:val="en-GB"/>
        </w:rPr>
        <w:t xml:space="preserve"> sequencing was also</w:t>
      </w:r>
      <w:r>
        <w:rPr>
          <w:lang w:val="en-GB"/>
        </w:rPr>
        <w:t xml:space="preserve"> performed on the same samples.</w:t>
      </w:r>
    </w:p>
    <w:p w:rsidR="00A3792B" w:rsidRPr="00A3792B" w:rsidRDefault="00A3792B" w:rsidP="00A3792B">
      <w:pPr>
        <w:jc w:val="both"/>
        <w:rPr>
          <w:lang w:val="en-GB"/>
        </w:rPr>
      </w:pPr>
      <w:r w:rsidRPr="00A3792B">
        <w:rPr>
          <w:lang w:val="en-GB"/>
        </w:rPr>
        <w:t xml:space="preserve">The analysis revealed ARGs </w:t>
      </w:r>
      <w:r w:rsidRPr="00FC226E">
        <w:rPr>
          <w:lang w:val="en-GB"/>
        </w:rPr>
        <w:t xml:space="preserve">associated with resistance to </w:t>
      </w:r>
      <w:bookmarkStart w:id="0" w:name="_GoBack"/>
      <w:bookmarkEnd w:id="0"/>
      <w:r w:rsidRPr="00FC226E">
        <w:rPr>
          <w:lang w:val="en-GB"/>
        </w:rPr>
        <w:t xml:space="preserve">26 antibiotic classes, highlighting the diversity of the poultry </w:t>
      </w:r>
      <w:proofErr w:type="spellStart"/>
      <w:r w:rsidRPr="00FC226E">
        <w:rPr>
          <w:lang w:val="en-GB"/>
        </w:rPr>
        <w:t>resistome</w:t>
      </w:r>
      <w:proofErr w:type="spellEnd"/>
      <w:r w:rsidRPr="00FC226E">
        <w:rPr>
          <w:lang w:val="en-GB"/>
        </w:rPr>
        <w:t xml:space="preserve">. Strong genetic links were </w:t>
      </w:r>
      <w:r>
        <w:rPr>
          <w:lang w:val="en-GB"/>
        </w:rPr>
        <w:t>observed</w:t>
      </w:r>
      <w:r w:rsidRPr="00FC226E">
        <w:rPr>
          <w:lang w:val="en-GB"/>
        </w:rPr>
        <w:t xml:space="preserve"> between specific plasmids and ARGs, </w:t>
      </w:r>
      <w:r>
        <w:rPr>
          <w:lang w:val="en-GB"/>
        </w:rPr>
        <w:t>with</w:t>
      </w:r>
      <w:r w:rsidRPr="00FC226E">
        <w:rPr>
          <w:lang w:val="en-GB"/>
        </w:rPr>
        <w:t xml:space="preserve"> MOBP plasmids </w:t>
      </w:r>
      <w:r>
        <w:rPr>
          <w:lang w:val="en-GB"/>
        </w:rPr>
        <w:t xml:space="preserve">frequently associated </w:t>
      </w:r>
      <w:r w:rsidRPr="00FC226E">
        <w:rPr>
          <w:lang w:val="en-GB"/>
        </w:rPr>
        <w:t xml:space="preserve">with fluoroquinolone resistance. Temporal trends indicated progressive mobilization of resistance genes, suggesting an increasing potential for horizontal gene transfer. While fluoroquinolone resistance expanded, </w:t>
      </w:r>
      <w:proofErr w:type="spellStart"/>
      <w:r w:rsidRPr="00FC226E">
        <w:rPr>
          <w:lang w:val="en-GB"/>
        </w:rPr>
        <w:t>diaminopyrimidine</w:t>
      </w:r>
      <w:proofErr w:type="spellEnd"/>
      <w:r w:rsidRPr="00FC226E">
        <w:rPr>
          <w:lang w:val="en-GB"/>
        </w:rPr>
        <w:t xml:space="preserve"> resistance remained stable despite treatment. Most ARGs were carried on small plasmids (2.6 to 47.6 kb); several exhibited high similarity to plasmids from other bacterial species, indicating potential for cross-species gene transfer, with possible transmission from poultry to humans through shared agricultural or environmental spaces.</w:t>
      </w:r>
      <w:r>
        <w:rPr>
          <w:lang w:val="en-GB"/>
        </w:rPr>
        <w:t xml:space="preserve"> </w:t>
      </w:r>
      <w:r w:rsidRPr="00A3792B">
        <w:rPr>
          <w:lang w:val="en-GB"/>
        </w:rPr>
        <w:t>Most ARGs were found on small plasmids ranging from 2.6 to 47.6 kb. Several plasmids showed high sequence similarity to those from other bacterial species, indicating a potential for cross-species transfer and possible transmission from poultry to humans through shared agricultural or environmental pathways.</w:t>
      </w:r>
    </w:p>
    <w:p w:rsidR="00A3792B" w:rsidRPr="00A3792B" w:rsidRDefault="00A3792B" w:rsidP="00A3792B">
      <w:pPr>
        <w:jc w:val="both"/>
        <w:rPr>
          <w:lang w:val="en-GB"/>
        </w:rPr>
      </w:pPr>
      <w:r w:rsidRPr="00A3792B">
        <w:rPr>
          <w:lang w:val="en-GB"/>
        </w:rPr>
        <w:t>These findings provide new insights into the dynamics of the poultry gut microbiome and antimicrobial resistance, emphasizing the central role of plasmids in gene mobilization. The results underscore the importance of sustained monitoring and targeted strategies to mitigate the spread of antimicrobial resistance in both agricultural and clinical environments.</w:t>
      </w:r>
    </w:p>
    <w:p w:rsidR="00B61D12" w:rsidRPr="00B61D12" w:rsidRDefault="00B61D12" w:rsidP="00E47C85">
      <w:pPr>
        <w:jc w:val="both"/>
        <w:rPr>
          <w:lang w:val="en-GB"/>
        </w:rPr>
      </w:pPr>
    </w:p>
    <w:p w:rsidR="003915E6" w:rsidRPr="00B61D12" w:rsidRDefault="00A3792B" w:rsidP="00B61D12">
      <w:pPr>
        <w:jc w:val="both"/>
        <w:rPr>
          <w:i/>
          <w:color w:val="FF0000"/>
          <w:lang w:val="en-GB"/>
        </w:rPr>
      </w:pPr>
      <w:r>
        <w:rPr>
          <w:lang w:val="en-GB"/>
        </w:rPr>
        <w:t>The study has been</w:t>
      </w:r>
      <w:r w:rsidRPr="00A3792B">
        <w:rPr>
          <w:lang w:val="en-GB"/>
        </w:rPr>
        <w:t xml:space="preserve"> supported by the Czech Science Foundation (22-16786S).</w:t>
      </w:r>
    </w:p>
    <w:sectPr w:rsidR="003915E6" w:rsidRPr="00B61D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379"/>
    <w:rsid w:val="00033A09"/>
    <w:rsid w:val="00035A3C"/>
    <w:rsid w:val="00047485"/>
    <w:rsid w:val="000A6A59"/>
    <w:rsid w:val="000D630D"/>
    <w:rsid w:val="00147EF1"/>
    <w:rsid w:val="001D465C"/>
    <w:rsid w:val="002E0C6D"/>
    <w:rsid w:val="002F7271"/>
    <w:rsid w:val="003915E6"/>
    <w:rsid w:val="00412D13"/>
    <w:rsid w:val="004B6F30"/>
    <w:rsid w:val="005E017C"/>
    <w:rsid w:val="005E244A"/>
    <w:rsid w:val="00627B78"/>
    <w:rsid w:val="00701A0B"/>
    <w:rsid w:val="00717D9E"/>
    <w:rsid w:val="007602A8"/>
    <w:rsid w:val="007C7E62"/>
    <w:rsid w:val="008442E9"/>
    <w:rsid w:val="008727C2"/>
    <w:rsid w:val="009574F1"/>
    <w:rsid w:val="009A28C3"/>
    <w:rsid w:val="00A3792B"/>
    <w:rsid w:val="00A90CBB"/>
    <w:rsid w:val="00B24C96"/>
    <w:rsid w:val="00B61D12"/>
    <w:rsid w:val="00C247C2"/>
    <w:rsid w:val="00C76149"/>
    <w:rsid w:val="00D72AB4"/>
    <w:rsid w:val="00D938B9"/>
    <w:rsid w:val="00DA1090"/>
    <w:rsid w:val="00DC3379"/>
    <w:rsid w:val="00E00C88"/>
    <w:rsid w:val="00E45C5A"/>
    <w:rsid w:val="00E47C85"/>
    <w:rsid w:val="00FC22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8571AF"/>
  <w15:chartTrackingRefBased/>
  <w15:docId w15:val="{496741AF-FDDA-4EB4-8232-C614F6EC7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3792B"/>
    <w:rPr>
      <w:szCs w:val="24"/>
    </w:rPr>
  </w:style>
  <w:style w:type="paragraph" w:styleId="Nadpis1">
    <w:name w:val="heading 1"/>
    <w:next w:val="Normln"/>
    <w:qFormat/>
    <w:rsid w:val="00A90CBB"/>
    <w:pPr>
      <w:keepNext/>
      <w:spacing w:before="240" w:after="60"/>
      <w:outlineLvl w:val="0"/>
    </w:pPr>
    <w:rPr>
      <w:rFonts w:cs="Arial"/>
      <w:b/>
      <w:bCs/>
      <w:kern w:val="32"/>
      <w:sz w:val="24"/>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utor">
    <w:name w:val="Autor"/>
    <w:next w:val="Normln"/>
    <w:rsid w:val="00DC3379"/>
    <w:rPr>
      <w:szCs w:val="24"/>
    </w:rPr>
  </w:style>
  <w:style w:type="paragraph" w:customStyle="1" w:styleId="Afiliace">
    <w:name w:val="Afiliace"/>
    <w:basedOn w:val="Autor"/>
    <w:next w:val="Normln"/>
    <w:rsid w:val="004B6F30"/>
    <w:rPr>
      <w:i/>
    </w:rPr>
  </w:style>
  <w:style w:type="paragraph" w:customStyle="1" w:styleId="Abstrakt">
    <w:name w:val="Abstrakt"/>
    <w:basedOn w:val="Autor"/>
    <w:next w:val="Normln"/>
    <w:rsid w:val="00A90CBB"/>
    <w:pPr>
      <w:spacing w:line="264" w:lineRule="auto"/>
      <w:ind w:firstLine="170"/>
      <w:jc w:val="both"/>
    </w:pPr>
  </w:style>
  <w:style w:type="paragraph" w:styleId="Textbubliny">
    <w:name w:val="Balloon Text"/>
    <w:basedOn w:val="Normln"/>
    <w:link w:val="TextbublinyChar"/>
    <w:rsid w:val="00A3792B"/>
    <w:rPr>
      <w:rFonts w:ascii="Segoe UI" w:hAnsi="Segoe UI" w:cs="Segoe UI"/>
      <w:sz w:val="18"/>
      <w:szCs w:val="18"/>
    </w:rPr>
  </w:style>
  <w:style w:type="character" w:customStyle="1" w:styleId="TextbublinyChar">
    <w:name w:val="Text bubliny Char"/>
    <w:basedOn w:val="Standardnpsmoodstavce"/>
    <w:link w:val="Textbubliny"/>
    <w:rsid w:val="00A379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28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3feaf0d-a985-4490-a11f-11193550aeaf">
      <Terms xmlns="http://schemas.microsoft.com/office/infopath/2007/PartnerControls"/>
    </lcf76f155ced4ddcb4097134ff3c332f>
    <TaxCatchAll xmlns="248d18ab-0445-4b69-b7e6-4535e995aa8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A649318A45A7F49AC1CEEF5B1AD0EC9" ma:contentTypeVersion="11" ma:contentTypeDescription="Vytvoří nový dokument" ma:contentTypeScope="" ma:versionID="0aca557a257c6a64141d515a0a6d097e">
  <xsd:schema xmlns:xsd="http://www.w3.org/2001/XMLSchema" xmlns:xs="http://www.w3.org/2001/XMLSchema" xmlns:p="http://schemas.microsoft.com/office/2006/metadata/properties" xmlns:ns2="43feaf0d-a985-4490-a11f-11193550aeaf" xmlns:ns3="248d18ab-0445-4b69-b7e6-4535e995aa83" targetNamespace="http://schemas.microsoft.com/office/2006/metadata/properties" ma:root="true" ma:fieldsID="d9f4145dbc7c67ca7342adae32ee5165" ns2:_="" ns3:_="">
    <xsd:import namespace="43feaf0d-a985-4490-a11f-11193550aeaf"/>
    <xsd:import namespace="248d18ab-0445-4b69-b7e6-4535e995aa8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eaf0d-a985-4490-a11f-11193550ae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ddc0c66c-3bbb-45c0-81fe-e66ee927fa8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8d18ab-0445-4b69-b7e6-4535e995aa8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f2aeff5-b973-401b-a514-c26a2f91c99b}" ma:internalName="TaxCatchAll" ma:showField="CatchAllData" ma:web="248d18ab-0445-4b69-b7e6-4535e995aa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34390-C1DE-4EC0-BC8F-CAB1DAD71A01}">
  <ds:schemaRefs>
    <ds:schemaRef ds:uri="http://schemas.microsoft.com/office/2006/metadata/properties"/>
    <ds:schemaRef ds:uri="http://schemas.microsoft.com/office/infopath/2007/PartnerControls"/>
    <ds:schemaRef ds:uri="43feaf0d-a985-4490-a11f-11193550aeaf"/>
    <ds:schemaRef ds:uri="248d18ab-0445-4b69-b7e6-4535e995aa83"/>
  </ds:schemaRefs>
</ds:datastoreItem>
</file>

<file path=customXml/itemProps2.xml><?xml version="1.0" encoding="utf-8"?>
<ds:datastoreItem xmlns:ds="http://schemas.openxmlformats.org/officeDocument/2006/customXml" ds:itemID="{DA4A434A-1C6E-4337-87CB-468839AD6A26}">
  <ds:schemaRefs>
    <ds:schemaRef ds:uri="http://schemas.microsoft.com/sharepoint/v3/contenttype/forms"/>
  </ds:schemaRefs>
</ds:datastoreItem>
</file>

<file path=customXml/itemProps3.xml><?xml version="1.0" encoding="utf-8"?>
<ds:datastoreItem xmlns:ds="http://schemas.openxmlformats.org/officeDocument/2006/customXml" ds:itemID="{98C93392-D605-4C8D-9429-3793030379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feaf0d-a985-4490-a11f-11193550aeaf"/>
    <ds:schemaRef ds:uri="248d18ab-0445-4b69-b7e6-4535e995aa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9D0CD4-00FC-4F06-80CF-2928F137E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590</Words>
  <Characters>3366</Characters>
  <Application>Microsoft Office Word</Application>
  <DocSecurity>0</DocSecurity>
  <Lines>28</Lines>
  <Paragraphs>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Název konferenčního příspěvku</vt:lpstr>
      <vt:lpstr>Název konferenčního příspěvku</vt:lpstr>
    </vt:vector>
  </TitlesOfParts>
  <Company>vscht</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Název konferenčního příspěvku</dc:title>
  <dc:subject/>
  <dc:creator>Windows User</dc:creator>
  <cp:keywords/>
  <dc:description/>
  <cp:lastModifiedBy>Čejková Darina (224638)</cp:lastModifiedBy>
  <cp:revision>11</cp:revision>
  <dcterms:created xsi:type="dcterms:W3CDTF">2025-04-30T14:31:00Z</dcterms:created>
  <dcterms:modified xsi:type="dcterms:W3CDTF">2025-05-05T11:15:00Z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0x010100DA649318A45A7F49AC1CEEF5B1AD0EC9</vt:lpwstr>
  </property>
</Properties>
</file>